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3C" w:rsidRDefault="00093ACE" w:rsidP="00060B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LOCAL GOVERNMENT: MUNICIPAL FINANCE MANAGEMENT ACT, 2003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 xml:space="preserve">MUNICIPAL COST CONTAINMENT </w:t>
      </w:r>
      <w:r w:rsidR="007943FF">
        <w:rPr>
          <w:rFonts w:ascii="Arial" w:hAnsi="Arial" w:cs="Arial"/>
          <w:b/>
          <w:sz w:val="24"/>
          <w:szCs w:val="24"/>
        </w:rPr>
        <w:t>POLICY</w:t>
      </w:r>
      <w:r w:rsidR="005B69AC">
        <w:rPr>
          <w:rFonts w:ascii="Arial" w:hAnsi="Arial" w:cs="Arial"/>
          <w:b/>
          <w:sz w:val="24"/>
          <w:szCs w:val="24"/>
        </w:rPr>
        <w:t>, 2023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The Minister of Finance has, acting with the concurrence of the Minister of Cooperative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Governance and Traditional Affairs, in terms of section 168(1) of the Local Government: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Municipal Finance Management Act, 2003 (Act No. 56 of 2003), made the </w:t>
      </w:r>
      <w:r w:rsidR="007943FF">
        <w:rPr>
          <w:rFonts w:ascii="Arial" w:hAnsi="Arial" w:cs="Arial"/>
          <w:sz w:val="24"/>
          <w:szCs w:val="24"/>
        </w:rPr>
        <w:t>regulation</w:t>
      </w:r>
      <w:r w:rsidRPr="0094483C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set out in the Schedule.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TABLE OF CONTENTS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Definitions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Object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Application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Cost containment policies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7.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8.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9.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10.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11.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12.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13.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14.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Enforcement procedures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15.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Disclosures of cost containment measures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Short title and commencement</w:t>
      </w: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033B">
        <w:rPr>
          <w:rFonts w:ascii="Arial" w:hAnsi="Arial" w:cs="Arial"/>
          <w:b/>
          <w:sz w:val="24"/>
          <w:szCs w:val="24"/>
        </w:rPr>
        <w:t>Definitions</w:t>
      </w:r>
    </w:p>
    <w:p w:rsidR="0026033B" w:rsidRPr="0026033B" w:rsidRDefault="0026033B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26033B" w:rsidRDefault="0094483C" w:rsidP="00060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33B">
        <w:rPr>
          <w:rFonts w:ascii="Arial" w:hAnsi="Arial" w:cs="Arial"/>
          <w:sz w:val="24"/>
          <w:szCs w:val="24"/>
        </w:rPr>
        <w:t xml:space="preserve"> In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26033B">
        <w:rPr>
          <w:rFonts w:ascii="Arial" w:hAnsi="Arial" w:cs="Arial"/>
          <w:sz w:val="24"/>
          <w:szCs w:val="24"/>
        </w:rPr>
        <w:t>, a word or expression to which a meaning has been assigned in the Act</w:t>
      </w:r>
      <w:r w:rsidR="0026033B">
        <w:rPr>
          <w:rFonts w:ascii="Arial" w:hAnsi="Arial" w:cs="Arial"/>
          <w:sz w:val="24"/>
          <w:szCs w:val="24"/>
        </w:rPr>
        <w:t xml:space="preserve"> </w:t>
      </w:r>
      <w:r w:rsidRPr="0026033B">
        <w:rPr>
          <w:rFonts w:ascii="Arial" w:hAnsi="Arial" w:cs="Arial"/>
          <w:sz w:val="24"/>
          <w:szCs w:val="24"/>
        </w:rPr>
        <w:t>has the same meaning as in the Act, unless the context indicates otherwise, and-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"Act"</w:t>
      </w:r>
      <w:r w:rsidR="0094483C" w:rsidRPr="0094483C">
        <w:rPr>
          <w:rFonts w:ascii="Arial" w:hAnsi="Arial" w:cs="Arial"/>
          <w:sz w:val="24"/>
          <w:szCs w:val="24"/>
        </w:rPr>
        <w:t xml:space="preserve"> means the Local Government: Municipal Finance Management Act, 2003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(Act No. 56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2003);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"consultant"</w:t>
      </w:r>
      <w:r w:rsidR="0094483C" w:rsidRPr="0094483C">
        <w:rPr>
          <w:rFonts w:ascii="Arial" w:hAnsi="Arial" w:cs="Arial"/>
          <w:sz w:val="24"/>
          <w:szCs w:val="24"/>
        </w:rPr>
        <w:t xml:space="preserve"> means a professional person, individual, partnership, corporation,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a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company appointed to provide technical and specialist advice or to assist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a design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implementation of projects or to assist a municipality or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 to perform its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 to achieve the objects of local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government in terms of section 152 of the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Constitution;</w:t>
      </w: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"cost containment"</w:t>
      </w:r>
      <w:r w:rsidR="0094483C" w:rsidRPr="0094483C">
        <w:rPr>
          <w:rFonts w:ascii="Arial" w:hAnsi="Arial" w:cs="Arial"/>
          <w:sz w:val="24"/>
          <w:szCs w:val="24"/>
        </w:rPr>
        <w:t xml:space="preserve"> means measures implemented to curtail spending in terms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these</w:t>
      </w:r>
      <w:r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"credit card"</w:t>
      </w:r>
      <w:r w:rsidR="0094483C" w:rsidRPr="0094483C">
        <w:rPr>
          <w:rFonts w:ascii="Arial" w:hAnsi="Arial" w:cs="Arial"/>
          <w:sz w:val="24"/>
          <w:szCs w:val="24"/>
        </w:rPr>
        <w:t xml:space="preserve"> means a card issued by a financial services provider, which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creates a revolving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 and grants a line of credit to the cardholder.</w:t>
      </w: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Object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2.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object of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, in line with sections 62(1)(a), 78(1)(b), 95(a)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105(1)(b) of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the Act, is to ensure that resources of a municipality and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Pr="0094483C">
        <w:rPr>
          <w:rFonts w:ascii="Arial" w:hAnsi="Arial" w:cs="Arial"/>
          <w:sz w:val="24"/>
          <w:szCs w:val="24"/>
        </w:rPr>
        <w:lastRenderedPageBreak/>
        <w:t>entity are used effectively,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efficiently and economically by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implementing cost containment measures.</w:t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Application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apply to all officials and political office bearers in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municipal entities.</w:t>
      </w:r>
    </w:p>
    <w:p w:rsidR="0094483C" w:rsidRPr="008B249C" w:rsidRDefault="007943FF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 </w:t>
      </w:r>
      <w:r w:rsidR="008B249C" w:rsidRPr="008B249C">
        <w:rPr>
          <w:rFonts w:ascii="Arial" w:hAnsi="Arial" w:cs="Arial"/>
          <w:b/>
          <w:sz w:val="24"/>
          <w:szCs w:val="24"/>
        </w:rPr>
        <w:t>Containment</w:t>
      </w:r>
      <w:r w:rsidR="0094483C" w:rsidRPr="008B249C">
        <w:rPr>
          <w:rFonts w:ascii="Arial" w:hAnsi="Arial" w:cs="Arial"/>
          <w:b/>
          <w:sz w:val="24"/>
          <w:szCs w:val="24"/>
        </w:rPr>
        <w:t xml:space="preserve"> policies</w:t>
      </w:r>
    </w:p>
    <w:p w:rsidR="0094483C" w:rsidRPr="0094483C" w:rsidRDefault="0094483C" w:rsidP="00060BA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4</w:t>
      </w:r>
      <w:r w:rsidRPr="0094483C">
        <w:rPr>
          <w:rFonts w:ascii="Arial" w:hAnsi="Arial" w:cs="Arial"/>
          <w:sz w:val="24"/>
          <w:szCs w:val="24"/>
        </w:rPr>
        <w:t xml:space="preserve">.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8B249C"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each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must develop or revise and </w:t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implement a </w:t>
      </w:r>
      <w:r w:rsidR="008B249C">
        <w:rPr>
          <w:rFonts w:ascii="Arial" w:hAnsi="Arial" w:cs="Arial"/>
          <w:sz w:val="24"/>
          <w:szCs w:val="24"/>
        </w:rPr>
        <w:tab/>
      </w:r>
      <w:r w:rsidR="008B249C" w:rsidRPr="0094483C">
        <w:rPr>
          <w:rFonts w:ascii="Arial" w:hAnsi="Arial" w:cs="Arial"/>
          <w:sz w:val="24"/>
          <w:szCs w:val="24"/>
        </w:rPr>
        <w:t>cost containment</w:t>
      </w:r>
      <w:r w:rsidRPr="0094483C">
        <w:rPr>
          <w:rFonts w:ascii="Arial" w:hAnsi="Arial" w:cs="Arial"/>
          <w:sz w:val="24"/>
          <w:szCs w:val="24"/>
        </w:rPr>
        <w:t xml:space="preserve"> policy which must -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In</w:t>
      </w:r>
      <w:r w:rsidR="0094483C" w:rsidRPr="0094483C">
        <w:rPr>
          <w:rFonts w:ascii="Arial" w:hAnsi="Arial" w:cs="Arial"/>
          <w:sz w:val="24"/>
          <w:szCs w:val="24"/>
        </w:rPr>
        <w:t xml:space="preserve"> the case of a municipality, be adopted by the municipal council,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in the case of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entity, by the board of directors as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part of its budget related policies;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define a municipality or municipal entity's objectives for the use of </w:t>
      </w:r>
      <w:r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consistent with the Act and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of a municipality or a municipal entity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</w:t>
      </w:r>
      <w:r>
        <w:rPr>
          <w:rFonts w:ascii="Arial" w:hAnsi="Arial" w:cs="Arial"/>
          <w:sz w:val="24"/>
          <w:szCs w:val="24"/>
        </w:rPr>
        <w:t xml:space="preserve"> </w:t>
      </w:r>
      <w:r w:rsidR="007943FF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 xml:space="preserve"> (1) must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 in writing;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give effect to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reviewed annually, as may be appropriate;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communicated on the municipality's or municipal entity's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website;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(e)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set out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monitoring measures for ensuring implementation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policy;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procedures for the annual review of the policy;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(iii)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consequences for non -adherence to the measures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contained therein.</w:t>
      </w:r>
    </w:p>
    <w:p w:rsidR="0094483C" w:rsidRPr="00456A8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6A82">
        <w:rPr>
          <w:rFonts w:ascii="Arial" w:hAnsi="Arial" w:cs="Arial"/>
          <w:b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5.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B74105" w:rsidRPr="0094483C">
        <w:rPr>
          <w:rFonts w:ascii="Arial" w:hAnsi="Arial" w:cs="Arial"/>
          <w:sz w:val="24"/>
          <w:szCs w:val="24"/>
        </w:rPr>
        <w:t>a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may only appoint consultants if an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assessment </w:t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456A82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needs and requirements confirms that the affected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</w:t>
      </w:r>
      <w:r w:rsidR="00B74105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="00456A82">
        <w:rPr>
          <w:rFonts w:ascii="Arial" w:hAnsi="Arial" w:cs="Arial"/>
          <w:sz w:val="24"/>
          <w:szCs w:val="24"/>
        </w:rPr>
        <w:t xml:space="preserve">entity does not </w:t>
      </w:r>
      <w:r w:rsidRPr="0094483C">
        <w:rPr>
          <w:rFonts w:ascii="Arial" w:hAnsi="Arial" w:cs="Arial"/>
          <w:sz w:val="24"/>
          <w:szCs w:val="24"/>
        </w:rPr>
        <w:t xml:space="preserve">have the requisite skills or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resources in its full -time employ to perform the function.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 must adopt a fair and reasonable remuneration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framework </w:t>
      </w:r>
      <w:r>
        <w:rPr>
          <w:rFonts w:ascii="Arial" w:hAnsi="Arial" w:cs="Arial"/>
          <w:sz w:val="24"/>
          <w:szCs w:val="24"/>
        </w:rPr>
        <w:t xml:space="preserve">for </w:t>
      </w:r>
      <w:r w:rsidR="0094483C" w:rsidRPr="0094483C">
        <w:rPr>
          <w:rFonts w:ascii="Arial" w:hAnsi="Arial" w:cs="Arial"/>
          <w:sz w:val="24"/>
          <w:szCs w:val="24"/>
        </w:rPr>
        <w:t>consultants taking into account the rates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determined in the "Guideline on fees for audits undertaken 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behalf of the Auditor -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General of South Africa ", issued by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  <w:t xml:space="preserve">South African </w:t>
      </w:r>
      <w:r w:rsidR="0094483C" w:rsidRPr="0094483C">
        <w:rPr>
          <w:rFonts w:ascii="Arial" w:hAnsi="Arial" w:cs="Arial"/>
          <w:sz w:val="24"/>
          <w:szCs w:val="24"/>
        </w:rPr>
        <w:t>Institute of Chartered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Accountants;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set out in the "Guide on Hourly Fee Rates for Consultants ", issued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Public Service and Administration; or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as prescribed by the body regulating the profession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tender documentation for the appointment of consultants must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include a clause that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remuneration rates will be subject to negotiation,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not exceeding the applicable rates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mentioned in sub -regulation (2).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negotiating cost -effective consultancy rates for international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accounting officer may take into account the relevant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international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market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rates.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consultants are appointed, an accounting officer must -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appoint consultants on a time and cost basis with specific start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dates;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practical, appoint consultants on an output- specified basis,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subject to specific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measurable objectives and associated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remuneration;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that contracts with consultants include overall cost ceilings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specifying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whether the contract price is inclusive or exclusive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 subsistence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disbursements;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the transfer of skills by consultants to the relevant officials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entity;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undertake all engagements of consultants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Supply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Chain Management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 xml:space="preserve">, 2005 and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entity's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supply chain management policy;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(f)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develop consultancy reduction plans to reduce the reliance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All contracts with consultants must include a fee retention or penalty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clause for poor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performance.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the specifications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performance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used as a monitoring tool for the work to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are appropriately recorded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monitored.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travel and subsistence costs of consultants must be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travel policy issued by the National Department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Transport, as updated from time to time.</w:t>
      </w:r>
    </w:p>
    <w:p w:rsid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contract price must specify all travel and subsistence costs and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subsistence costs for appointed consultants are excluded from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contract price, such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must be reimbursed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travel policy of the National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Transport.</w:t>
      </w:r>
    </w:p>
    <w:p w:rsidR="0094483C" w:rsidRPr="005D3E24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6.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(1)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threshold limit for vehicle purchases relating to official use by political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office </w:t>
      </w:r>
      <w:r w:rsidR="005D3E24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bearers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must not exceed R700 000 or 70% (VAT inclusive) of the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total annual remuneration package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for the different grades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municipalities, as defined in the Public Office Bearers Act and the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notices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issued in terms thereof by the Minister of Cooperative Governance and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Traditional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Affairs, whichever is lower.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procurement of vehicles in sub -regulation (1) must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using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government transversal contract mechanism, unless 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be procured at a lower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through other procurement mechanisms.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Before deciding to procure a vehicle as conte</w:t>
      </w:r>
      <w:r>
        <w:rPr>
          <w:rFonts w:ascii="Arial" w:hAnsi="Arial" w:cs="Arial"/>
          <w:sz w:val="24"/>
          <w:szCs w:val="24"/>
        </w:rPr>
        <w:t xml:space="preserve">mplated in sub -regulation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accounting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officer or delegated official must provide the council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information relating to the following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criteria which must be considered: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status of current vehicles;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affordability of options including whether to procure a vehicle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compared to rental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hire thereof, provided that the most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effective option is followed and the cost is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equivalent to or lower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that contemplated in sub -regulation (1);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extent of service delivery backlogs;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terrain for effective usage of the vehicle;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any other policy of council.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If the rental referred to in sub -regulation (3) is preferred, the accounting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officer must review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costs incurred regularly to ensure that value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money is obtained.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Regardless of their usage, vehicles for official use by political office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bearers may only be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replaced after completion of 120 000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Notwithstanding sub -regulation (5), a municipality or municipal entity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replace a vehicle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official use by political office bearers before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completion of 120 000km only in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instances where the vehicle has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serious mechanical problem and is in a poor condition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and subject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obtaining a detailed mechanical report by the vehicle manufacturer 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approved dealer.</w:t>
      </w:r>
    </w:p>
    <w:p w:rsid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there is a policy that addresses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of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vehicles for official purposes.</w:t>
      </w:r>
    </w:p>
    <w:p w:rsidR="0094483C" w:rsidRPr="00C625E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7.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 accounting officer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may approve the purchase of economy class tickets for all officials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where the flying time for the flights is five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hours or less;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may only approve the purchase of business class tickets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officials,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persons reporting directly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for flights exceeding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In the case of the accounting officer, the mayor may approve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purchase of economy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class tickets where the flying time is five hours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less and business class tickets for flights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exceeding 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Notwithstanding sub -regulation (1) or (2), an accounting officer, or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mayor in the case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officer, may approve the purchase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class tickets for an official or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political office bearer with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disability or a medically certified condition.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must limit international travel to meetings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events that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considered critical. The number of officials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attending such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meetings or events must be limited to those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 or political office bearers directly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involved in the subject matter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related to such meetings or events.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officer, or the mayor in the case of the accounting officer,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approve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costs that exceed an amount as determined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time to time by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National Treasury through a notice only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during peak holiday periods; or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major local or international events are hosted in a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that results in an abnormal increase in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number of local and /or international guests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 that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official or a political office bearer of a municipality or municipal entity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must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utilise the municipal fleet, where viable, before incurring costs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hire vehicles;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make use of available public transport or a shuttle service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 of such a service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is lower than -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hiring a vehicle;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 xml:space="preserve"> claimable by the official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parking.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 hire vehicles from a category higher than Group B or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equivalent class;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where a different class of vehicle is required for a particular terrain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to cater for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special needs of an official, seek the written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approval of the accounting officer before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hiring the vehicle.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a municipal entity must utilise the negotiated rates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flights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as communicated from time to time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through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notice or any other available cheaper flight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accommodation.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8.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costs incurred for domestic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accommodation and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meals are in accordance with the maximum allowable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for domestic accommodation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meals as communicated from time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time by the National Treasury through a notice.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Overnight accommodation may only be booked where the return trip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exceeds 500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9.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no credit card or debit card linked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a bank account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of a municipality or a municipal entity is issued to any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official or political office bearer,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including members of the board of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directors of municipal entities.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officials or political office bearers incur expenditure in relation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activities, such officials or political officer bearers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their personal credit cards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cash or arrangements made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entity, and request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reimbursement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written approved policy and processes.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10.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 not incur catering expenses for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meetings which are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only attended by persons in the employ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 municipal entity, unless the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prior written approval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accounting officer is obtained.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catering expenses for the hosting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conferences,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workshops, courses, forums, recruitment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interviews, and proceedings of council that exceed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Entertainment allowances of qualifying officials may not exceed two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thousand rand per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person per financial year, unless approved otherwise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accounting officer.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expenses on alcoholic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beverages unless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municipality or the municipal entity recovers the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the sale of such beverages.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social events, team building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exercises, year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functions, sporting events and budget vote dinners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 not financed from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municipal entity's budgets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any suppliers or sponsors.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expenditure on corporate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branded items like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clothing or goods for personal use of officials, other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uniforms, office supplies and tools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 trade unless costs related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thereto are recovered from affected officials or is an integral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part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model.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expenditure not exceeding the limits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petty cash usage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host farewell functions in recognition of officials who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retire after serving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 for ten or more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years or retire on grounds of ill health.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11.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may, as far as possible, advertise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related events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 its website instead of advertising in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magazines or newspapers.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allowances to officials for private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calls and data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are limited to an amount as determined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in the cost containment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policy of the municipality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Newspapers and other related publications for the use of officials must be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discontinued 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expiry of existing contracts or supply orders, unless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required for professional purposes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where unavailable in electronic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format.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participate in the transversal term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contract arranged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by the National Treasury for the acquisition of mobile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communication services.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12.</w:t>
      </w:r>
      <w:r w:rsidR="00F741A9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establish policies and procedures to manage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applications to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attend conferences or events hosted by professional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bodies or non </w:t>
      </w:r>
      <w:r w:rsidR="00F741A9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governmental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institutions held within and outside the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borders of South Africa taking into account their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merits and benefits, costs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available alternatives.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applications from officials or political office bearers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attend conferences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events within and outside the borders of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Africa, an accounting officer or mayor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case may be, must take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following into account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official's or political office bearer's role and responsibilities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anticipated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benefits of the conference or event;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whether the conference or event addresses relevant concerns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institution;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appropriate number of officials or political office bearers,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exceeding three,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attending the conference or event;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availability of funds to meet expenses related to the conference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consider appropriate benchmark costs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other professional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bodies or regulatory bodies prior to granting approval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 an official to attend a conference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event within and outside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borders of South Africa.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benchmark costs referred to in sub -regulation (3) may not exceed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amount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determined from time to time by the National Treasury through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notice.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amount referred to in sub -regulation (4) excludes costs related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accommodation and related expenses, but includes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conference or event registration expenses;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any other expense incurred in relation to the conference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costs for conferences or events these may not include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items such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laptops, tablets and other similar tokens that are built into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price of such conferences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events.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accounting officer of a municipality or municipal entity must ensure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that meetings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 that entail the use of municipal funds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are, as far as may be practically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possible, held in- house.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Municipal or provincial office facilities must be utilised for conference,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strategic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sessions, inter alia, where an appropriate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venue exists within the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jurisdiction.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grant the approval for officials and in the case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the accounting officer, the mayor,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-regulation (2).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must, where applicable, take advantage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early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registration discounts by granting the required approvals to attend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conference, event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study tour, in advance.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All commodities, services and products covered by a transversal contract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concluded by the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National Treasury must be considered before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approaching the market, to benefit from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savings where lower prices or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have been negotiated.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Municipal resources may not be used to fund elections, campaign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activities, including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provision of food, clothing, printing of agendas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brochures and other inducements as part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of, or during election periods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fund any activities of any political party at any time.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Expenditure on tools of trade for political office bearers must be limited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upper limits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approved and published by the Cabinet member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responsible for local government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Remuneration of Public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Act, 1998.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avoid expenditure on elaborate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expensive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furniture.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only use the services of the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African Police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Service to conduct periodical or quarterly security threat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assessments 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key officials and a report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submitted to the speaker's office.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 municipal entity may consider providing additional time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 in lieu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payment for overtime worked. Planned overtime must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submitted to the relevant manager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consideration on a monthly basis.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motivation for all unplanned overtime must be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submitted to the relevant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manager.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due process is followed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when suspending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dismissing officials to avoid unnecessary litigation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costs.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Enforcement Procedures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14.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Failure to implement or comply with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may result in any official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municipality or municipal entity, political </w:t>
      </w:r>
      <w:r w:rsidR="00060BA6">
        <w:rPr>
          <w:rFonts w:ascii="Arial" w:hAnsi="Arial" w:cs="Arial"/>
          <w:sz w:val="24"/>
          <w:szCs w:val="24"/>
        </w:rPr>
        <w:t xml:space="preserve">office bearer or director of the </w:t>
      </w:r>
      <w:r w:rsidRPr="0094483C">
        <w:rPr>
          <w:rFonts w:ascii="Arial" w:hAnsi="Arial" w:cs="Arial"/>
          <w:sz w:val="24"/>
          <w:szCs w:val="24"/>
        </w:rPr>
        <w:t>board that authorised or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incurred any expenditure contrary to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being held liable for financial misconduct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or a financial offence in the case </w:t>
      </w:r>
      <w:proofErr w:type="gramStart"/>
      <w:r w:rsidRPr="0094483C">
        <w:rPr>
          <w:rFonts w:ascii="Arial" w:hAnsi="Arial" w:cs="Arial"/>
          <w:sz w:val="24"/>
          <w:szCs w:val="24"/>
        </w:rPr>
        <w:t xml:space="preserve">of 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political</w:t>
      </w:r>
      <w:proofErr w:type="gramEnd"/>
      <w:r w:rsidRPr="0094483C">
        <w:rPr>
          <w:rFonts w:ascii="Arial" w:hAnsi="Arial" w:cs="Arial"/>
          <w:sz w:val="24"/>
          <w:szCs w:val="24"/>
        </w:rPr>
        <w:t xml:space="preserve"> office bearers as defined in Chapter 15 of the Act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read with the Municipal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on Financial Misconduct Procedures and Criminal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Proceedings,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2014.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Disclosures of cost containment measures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lastRenderedPageBreak/>
        <w:t>15.</w:t>
      </w:r>
      <w:r w:rsidR="00093ACE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disclosure of cost containment measures applied by the municipality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municipal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entity must be included in the municipal in -year budget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reports and annual costs savings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disclosed in the annual report.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measures implemented and aggregate amounts saved per quarter,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together with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regular reports on reprioritisation of cost savings and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implementation of the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containment measures must be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the Municipal Council for review and resolution.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municipal council can refer such reports to an appropriate Council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Committee for further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recommendations and actions.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reports referred to in sub -regulation (2) must be copied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and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relevant provincial treasury within seven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calendar days after the report is submitted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council.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Short title and commencement</w:t>
      </w:r>
    </w:p>
    <w:p w:rsidR="00016C28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16.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are called the Municipal Cost Containment </w:t>
      </w:r>
      <w:r w:rsidR="00093ACE">
        <w:rPr>
          <w:rFonts w:ascii="Arial" w:hAnsi="Arial" w:cs="Arial"/>
          <w:sz w:val="24"/>
          <w:szCs w:val="24"/>
        </w:rPr>
        <w:t>Policy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</w:t>
      </w:r>
      <w:r w:rsidR="00060BA6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take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060BA6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 xml:space="preserve">effect on </w:t>
      </w:r>
      <w:r w:rsidR="005B69AC">
        <w:rPr>
          <w:rFonts w:ascii="Arial" w:hAnsi="Arial" w:cs="Arial"/>
          <w:b/>
          <w:sz w:val="24"/>
          <w:szCs w:val="24"/>
        </w:rPr>
        <w:t>1 July 2022</w:t>
      </w:r>
      <w:bookmarkStart w:id="0" w:name="_GoBack"/>
      <w:bookmarkEnd w:id="0"/>
    </w:p>
    <w:sectPr w:rsidR="00016C28" w:rsidRPr="0094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1C" w:rsidRDefault="00E8321C" w:rsidP="00906662">
      <w:pPr>
        <w:spacing w:after="0" w:line="240" w:lineRule="auto"/>
      </w:pPr>
      <w:r>
        <w:separator/>
      </w:r>
    </w:p>
  </w:endnote>
  <w:endnote w:type="continuationSeparator" w:id="0">
    <w:p w:rsidR="00E8321C" w:rsidRDefault="00E8321C" w:rsidP="0090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1C" w:rsidRDefault="00E8321C" w:rsidP="00906662">
      <w:pPr>
        <w:spacing w:after="0" w:line="240" w:lineRule="auto"/>
      </w:pPr>
      <w:r>
        <w:separator/>
      </w:r>
    </w:p>
  </w:footnote>
  <w:footnote w:type="continuationSeparator" w:id="0">
    <w:p w:rsidR="00E8321C" w:rsidRDefault="00E8321C" w:rsidP="0090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62" w:rsidRDefault="00906662">
    <w:pPr>
      <w:pStyle w:val="Header"/>
    </w:pPr>
    <w:r w:rsidRPr="002A6167">
      <w:rPr>
        <w:noProof/>
        <w:lang w:val="en-ZA" w:eastAsia="en-ZA"/>
      </w:rPr>
      <w:drawing>
        <wp:inline distT="0" distB="0" distL="0" distR="0">
          <wp:extent cx="5724525" cy="1000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5E1"/>
    <w:multiLevelType w:val="hybridMultilevel"/>
    <w:tmpl w:val="656C71A2"/>
    <w:lvl w:ilvl="0" w:tplc="F550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3C"/>
    <w:rsid w:val="00016C28"/>
    <w:rsid w:val="00060BA6"/>
    <w:rsid w:val="00093ACE"/>
    <w:rsid w:val="00255B4E"/>
    <w:rsid w:val="0026033B"/>
    <w:rsid w:val="002A5443"/>
    <w:rsid w:val="00310784"/>
    <w:rsid w:val="003D7DED"/>
    <w:rsid w:val="00456A82"/>
    <w:rsid w:val="005B69AC"/>
    <w:rsid w:val="005D3E24"/>
    <w:rsid w:val="007943FF"/>
    <w:rsid w:val="008156C1"/>
    <w:rsid w:val="00825E04"/>
    <w:rsid w:val="008B249C"/>
    <w:rsid w:val="00906662"/>
    <w:rsid w:val="0094483C"/>
    <w:rsid w:val="00A97623"/>
    <w:rsid w:val="00B74105"/>
    <w:rsid w:val="00C625E2"/>
    <w:rsid w:val="00CD3EF1"/>
    <w:rsid w:val="00D02DAB"/>
    <w:rsid w:val="00E8321C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A98E6"/>
  <w15:chartTrackingRefBased/>
  <w15:docId w15:val="{8AC7051E-2A52-48D7-8E2F-6C82C0B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2"/>
  </w:style>
  <w:style w:type="paragraph" w:styleId="Footer">
    <w:name w:val="footer"/>
    <w:basedOn w:val="Normal"/>
    <w:link w:val="Foot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Mashobathe Sifo</dc:creator>
  <cp:keywords/>
  <dc:description/>
  <cp:lastModifiedBy>Mampa Tsoho</cp:lastModifiedBy>
  <cp:revision>3</cp:revision>
  <dcterms:created xsi:type="dcterms:W3CDTF">2021-03-26T12:56:00Z</dcterms:created>
  <dcterms:modified xsi:type="dcterms:W3CDTF">2022-03-24T00:09:00Z</dcterms:modified>
</cp:coreProperties>
</file>